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9435804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871FE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871FED" w:rsidP="00871FE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871F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871FED" w:rsidP="0087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871FED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</w:t>
      </w:r>
      <w:r w:rsidR="00D208B1" w:rsidRPr="00007B52">
        <w:t>порядке индексации заработной платы работников</w:t>
      </w:r>
    </w:p>
    <w:p w:rsidR="003A278C" w:rsidRDefault="00D208B1" w:rsidP="006E39E6">
      <w:pPr>
        <w:pStyle w:val="ConsPlusNormal"/>
        <w:jc w:val="center"/>
      </w:pPr>
      <w:r w:rsidRPr="00007B52">
        <w:t>областных государственных учреждений в 2021 году</w:t>
      </w:r>
    </w:p>
    <w:p w:rsidR="00D208B1" w:rsidRDefault="00D208B1" w:rsidP="00AF0C54">
      <w:pPr>
        <w:pStyle w:val="ConsPlusNormal"/>
        <w:spacing w:before="480" w:line="359" w:lineRule="auto"/>
        <w:jc w:val="both"/>
        <w:rPr>
          <w:b w:val="0"/>
        </w:rPr>
      </w:pPr>
      <w:r w:rsidRPr="00D208B1">
        <w:rPr>
          <w:b w:val="0"/>
        </w:rPr>
        <w:tab/>
      </w:r>
      <w:r w:rsidRPr="00871FED">
        <w:rPr>
          <w:b w:val="0"/>
          <w:spacing w:val="-2"/>
        </w:rPr>
        <w:t xml:space="preserve">В соответствии со </w:t>
      </w:r>
      <w:hyperlink r:id="rId11" w:history="1">
        <w:r w:rsidRPr="00871FED">
          <w:rPr>
            <w:b w:val="0"/>
            <w:spacing w:val="-2"/>
          </w:rPr>
          <w:t>статьей 4</w:t>
        </w:r>
      </w:hyperlink>
      <w:r w:rsidRPr="00871FED">
        <w:rPr>
          <w:b w:val="0"/>
          <w:spacing w:val="-2"/>
        </w:rPr>
        <w:t xml:space="preserve"> Закона Кировской области от 01.11.2008 </w:t>
      </w:r>
      <w:r w:rsidRPr="00871FED">
        <w:rPr>
          <w:b w:val="0"/>
          <w:spacing w:val="-2"/>
        </w:rPr>
        <w:br/>
        <w:t xml:space="preserve">№ 296-ЗО «Об оплате труда работников областных государственных учреждений» и </w:t>
      </w:r>
      <w:hyperlink r:id="rId12" w:history="1">
        <w:r w:rsidRPr="00871FED">
          <w:rPr>
            <w:b w:val="0"/>
            <w:spacing w:val="-2"/>
          </w:rPr>
          <w:t>Положением</w:t>
        </w:r>
      </w:hyperlink>
      <w:r w:rsidRPr="00871FED">
        <w:rPr>
          <w:b w:val="0"/>
          <w:spacing w:val="-2"/>
        </w:rPr>
        <w:t xml:space="preserve"> о порядке установления оплаты труда работников</w:t>
      </w:r>
      <w:r w:rsidRPr="00D208B1">
        <w:rPr>
          <w:b w:val="0"/>
        </w:rPr>
        <w:t xml:space="preserve"> областных государственных учреждений, утвержденным постановлением Правительства Кировской области от 01.12.2008 № 154/468 «Об оплате труда работников областных государственных учреждений», Правительство Кировской области </w:t>
      </w:r>
      <w:r w:rsidRPr="00D208B1">
        <w:rPr>
          <w:b w:val="0"/>
          <w:caps/>
        </w:rPr>
        <w:t>постановляет</w:t>
      </w:r>
      <w:r w:rsidRPr="00D208B1">
        <w:rPr>
          <w:b w:val="0"/>
        </w:rPr>
        <w:t>:</w:t>
      </w:r>
    </w:p>
    <w:p w:rsidR="00D87F43" w:rsidRPr="00D87F43" w:rsidRDefault="00D87F43" w:rsidP="00AF0C54">
      <w:pPr>
        <w:pStyle w:val="ConsPlusNormal"/>
        <w:spacing w:line="359" w:lineRule="auto"/>
        <w:jc w:val="both"/>
        <w:rPr>
          <w:b w:val="0"/>
        </w:rPr>
      </w:pPr>
      <w:r>
        <w:rPr>
          <w:b w:val="0"/>
        </w:rPr>
        <w:tab/>
        <w:t xml:space="preserve">1. </w:t>
      </w:r>
      <w:r w:rsidRPr="00D87F43">
        <w:rPr>
          <w:b w:val="0"/>
        </w:rPr>
        <w:t>Установить в 20</w:t>
      </w:r>
      <w:r>
        <w:rPr>
          <w:b w:val="0"/>
        </w:rPr>
        <w:t>21</w:t>
      </w:r>
      <w:r w:rsidRPr="00D87F43">
        <w:rPr>
          <w:b w:val="0"/>
        </w:rPr>
        <w:t xml:space="preserve"> году следующий порядок индексации заработной платы работников областных государственных учреждений:</w:t>
      </w:r>
    </w:p>
    <w:p w:rsidR="001B3A03" w:rsidRDefault="000C5604" w:rsidP="00AF0C54">
      <w:pPr>
        <w:pStyle w:val="ConsPlusNormal"/>
        <w:spacing w:line="359" w:lineRule="auto"/>
        <w:jc w:val="both"/>
        <w:rPr>
          <w:b w:val="0"/>
        </w:rPr>
      </w:pPr>
      <w:r>
        <w:rPr>
          <w:b w:val="0"/>
        </w:rPr>
        <w:tab/>
        <w:t>1.1</w:t>
      </w:r>
      <w:r w:rsidR="004D721F">
        <w:rPr>
          <w:b w:val="0"/>
        </w:rPr>
        <w:t>.</w:t>
      </w:r>
      <w:r>
        <w:rPr>
          <w:b w:val="0"/>
        </w:rPr>
        <w:t xml:space="preserve"> </w:t>
      </w:r>
      <w:r w:rsidR="005F32D7">
        <w:rPr>
          <w:b w:val="0"/>
        </w:rPr>
        <w:t xml:space="preserve">Для расчета </w:t>
      </w:r>
      <w:r w:rsidR="00AF5BD5">
        <w:rPr>
          <w:b w:val="0"/>
        </w:rPr>
        <w:t>объема бюджетных ассигнований</w:t>
      </w:r>
      <w:r w:rsidR="005F32D7">
        <w:rPr>
          <w:b w:val="0"/>
        </w:rPr>
        <w:t xml:space="preserve"> </w:t>
      </w:r>
      <w:r w:rsidR="00AF5BD5">
        <w:rPr>
          <w:b w:val="0"/>
        </w:rPr>
        <w:t xml:space="preserve">на повышение </w:t>
      </w:r>
      <w:r w:rsidR="005F32D7" w:rsidRPr="00D208B1">
        <w:rPr>
          <w:b w:val="0"/>
        </w:rPr>
        <w:t>заработной платы</w:t>
      </w:r>
      <w:r w:rsidR="001B3A03" w:rsidRPr="001B3A03">
        <w:rPr>
          <w:b w:val="0"/>
        </w:rPr>
        <w:t xml:space="preserve"> </w:t>
      </w:r>
      <w:r w:rsidR="00D87F43">
        <w:rPr>
          <w:b w:val="0"/>
        </w:rPr>
        <w:t xml:space="preserve">с 01.09.2021 </w:t>
      </w:r>
      <w:r w:rsidR="001B3A03">
        <w:rPr>
          <w:b w:val="0"/>
        </w:rPr>
        <w:t>определить:</w:t>
      </w:r>
    </w:p>
    <w:p w:rsidR="00857F9A" w:rsidRDefault="001B3A03" w:rsidP="00AF0C54">
      <w:pPr>
        <w:pStyle w:val="ConsPlusNormal"/>
        <w:spacing w:line="359" w:lineRule="auto"/>
        <w:jc w:val="both"/>
        <w:rPr>
          <w:b w:val="0"/>
        </w:rPr>
      </w:pPr>
      <w:r>
        <w:rPr>
          <w:b w:val="0"/>
        </w:rPr>
        <w:tab/>
        <w:t xml:space="preserve">1.1.1. </w:t>
      </w:r>
      <w:r w:rsidR="004D721F">
        <w:rPr>
          <w:b w:val="0"/>
        </w:rPr>
        <w:t>Размер п</w:t>
      </w:r>
      <w:r>
        <w:rPr>
          <w:b w:val="0"/>
        </w:rPr>
        <w:t>рогнозн</w:t>
      </w:r>
      <w:r w:rsidR="004D721F">
        <w:rPr>
          <w:b w:val="0"/>
        </w:rPr>
        <w:t>ой</w:t>
      </w:r>
      <w:r>
        <w:rPr>
          <w:b w:val="0"/>
        </w:rPr>
        <w:t xml:space="preserve"> величин</w:t>
      </w:r>
      <w:r w:rsidR="004D721F">
        <w:rPr>
          <w:b w:val="0"/>
        </w:rPr>
        <w:t>ы</w:t>
      </w:r>
      <w:r>
        <w:rPr>
          <w:b w:val="0"/>
        </w:rPr>
        <w:t xml:space="preserve"> с</w:t>
      </w:r>
      <w:r w:rsidRPr="00857F9A">
        <w:rPr>
          <w:b w:val="0"/>
        </w:rPr>
        <w:t>реднемесячн</w:t>
      </w:r>
      <w:r>
        <w:rPr>
          <w:b w:val="0"/>
        </w:rPr>
        <w:t>ой</w:t>
      </w:r>
      <w:r w:rsidRPr="00857F9A">
        <w:rPr>
          <w:b w:val="0"/>
        </w:rPr>
        <w:t xml:space="preserve"> начисленн</w:t>
      </w:r>
      <w:r>
        <w:rPr>
          <w:b w:val="0"/>
        </w:rPr>
        <w:t>ой</w:t>
      </w:r>
      <w:r w:rsidRPr="00857F9A">
        <w:rPr>
          <w:b w:val="0"/>
        </w:rPr>
        <w:t xml:space="preserve"> заработн</w:t>
      </w:r>
      <w:r>
        <w:rPr>
          <w:b w:val="0"/>
        </w:rPr>
        <w:t>ой</w:t>
      </w:r>
      <w:r w:rsidRPr="00857F9A">
        <w:rPr>
          <w:b w:val="0"/>
        </w:rPr>
        <w:t xml:space="preserve"> плат</w:t>
      </w:r>
      <w:r>
        <w:rPr>
          <w:b w:val="0"/>
        </w:rPr>
        <w:t>ы</w:t>
      </w:r>
      <w:r w:rsidRPr="00857F9A">
        <w:rPr>
          <w:b w:val="0"/>
        </w:rPr>
        <w:t xml:space="preserve"> наемных работников в организациях, у индивидуальных предпринимателей и физических лиц (среднемесячн</w:t>
      </w:r>
      <w:r>
        <w:rPr>
          <w:b w:val="0"/>
        </w:rPr>
        <w:t>ого</w:t>
      </w:r>
      <w:r w:rsidRPr="00857F9A">
        <w:rPr>
          <w:b w:val="0"/>
        </w:rPr>
        <w:t xml:space="preserve"> доход</w:t>
      </w:r>
      <w:r>
        <w:rPr>
          <w:b w:val="0"/>
        </w:rPr>
        <w:t xml:space="preserve">а </w:t>
      </w:r>
      <w:r w:rsidRPr="00857F9A">
        <w:rPr>
          <w:b w:val="0"/>
        </w:rPr>
        <w:t>от трудовой деятельности)</w:t>
      </w:r>
      <w:r>
        <w:rPr>
          <w:b w:val="0"/>
        </w:rPr>
        <w:t xml:space="preserve"> по Кировской области</w:t>
      </w:r>
      <w:r w:rsidR="00694D50">
        <w:rPr>
          <w:b w:val="0"/>
        </w:rPr>
        <w:t xml:space="preserve"> </w:t>
      </w:r>
      <w:r w:rsidR="004D721F">
        <w:rPr>
          <w:b w:val="0"/>
        </w:rPr>
        <w:t xml:space="preserve">– </w:t>
      </w:r>
      <w:r>
        <w:rPr>
          <w:b w:val="0"/>
        </w:rPr>
        <w:t>28 624 тыс. рублей</w:t>
      </w:r>
      <w:r w:rsidR="00192003">
        <w:rPr>
          <w:b w:val="0"/>
        </w:rPr>
        <w:t xml:space="preserve">. </w:t>
      </w:r>
    </w:p>
    <w:p w:rsidR="001B3A03" w:rsidRDefault="001B3A03" w:rsidP="00AF0C54">
      <w:pPr>
        <w:pStyle w:val="ConsPlusNormal"/>
        <w:spacing w:line="359" w:lineRule="auto"/>
        <w:jc w:val="both"/>
        <w:rPr>
          <w:b w:val="0"/>
        </w:rPr>
      </w:pPr>
      <w:r>
        <w:rPr>
          <w:b w:val="0"/>
        </w:rPr>
        <w:tab/>
        <w:t xml:space="preserve">1.1.2. Размер индексации </w:t>
      </w:r>
      <w:r w:rsidRPr="00D208B1">
        <w:rPr>
          <w:b w:val="0"/>
        </w:rPr>
        <w:t>фонд</w:t>
      </w:r>
      <w:r w:rsidR="00BD1F40">
        <w:rPr>
          <w:b w:val="0"/>
        </w:rPr>
        <w:t>ов</w:t>
      </w:r>
      <w:r w:rsidRPr="00D208B1">
        <w:rPr>
          <w:b w:val="0"/>
        </w:rPr>
        <w:t xml:space="preserve"> оплаты труда работников областных государственных учреждений (за исключением фондов оплаты труда </w:t>
      </w:r>
      <w:r w:rsidR="00C91FD4" w:rsidRPr="00D208B1">
        <w:rPr>
          <w:b w:val="0"/>
        </w:rPr>
        <w:t>отдельных категорий работников</w:t>
      </w:r>
      <w:r w:rsidR="00C91FD4">
        <w:rPr>
          <w:b w:val="0"/>
        </w:rPr>
        <w:t xml:space="preserve">, </w:t>
      </w:r>
      <w:r w:rsidR="00C91FD4" w:rsidRPr="00D208B1">
        <w:rPr>
          <w:b w:val="0"/>
        </w:rPr>
        <w:t xml:space="preserve">установленных </w:t>
      </w:r>
      <w:hyperlink r:id="rId13" w:history="1">
        <w:r w:rsidR="004D721F" w:rsidRPr="00861252">
          <w:rPr>
            <w:b w:val="0"/>
          </w:rPr>
          <w:t>у</w:t>
        </w:r>
        <w:r w:rsidR="00C91FD4" w:rsidRPr="00D208B1">
          <w:rPr>
            <w:b w:val="0"/>
          </w:rPr>
          <w:t>казами</w:t>
        </w:r>
      </w:hyperlink>
      <w:r w:rsidR="00C91FD4" w:rsidRPr="00D208B1">
        <w:rPr>
          <w:b w:val="0"/>
        </w:rPr>
        <w:t xml:space="preserve"> Президента Российской Федерации от 07.05.2012 № 597 «О мероприятиях по реализации государственной социальной политики», от 01.06.2012 № 761 </w:t>
      </w:r>
      <w:r w:rsidR="00694D50">
        <w:rPr>
          <w:b w:val="0"/>
        </w:rPr>
        <w:br/>
      </w:r>
      <w:r w:rsidR="00C91FD4" w:rsidRPr="00D208B1">
        <w:rPr>
          <w:b w:val="0"/>
        </w:rPr>
        <w:lastRenderedPageBreak/>
        <w:t xml:space="preserve">«О Национальной стратегии действий в интересах детей на 2012 – 2017 годы» и от 28.12.2012 </w:t>
      </w:r>
      <w:hyperlink r:id="rId14" w:history="1">
        <w:r w:rsidR="00C91FD4" w:rsidRPr="00D208B1">
          <w:rPr>
            <w:b w:val="0"/>
          </w:rPr>
          <w:t>№ 1688</w:t>
        </w:r>
      </w:hyperlink>
      <w:r w:rsidR="00C91FD4" w:rsidRPr="00D208B1">
        <w:rPr>
          <w:b w:val="0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</w:t>
      </w:r>
      <w:r w:rsidRPr="00D208B1">
        <w:rPr>
          <w:b w:val="0"/>
        </w:rPr>
        <w:t xml:space="preserve">) </w:t>
      </w:r>
      <w:r>
        <w:rPr>
          <w:b w:val="0"/>
        </w:rPr>
        <w:t xml:space="preserve">за сентябрь – декабрь </w:t>
      </w:r>
      <w:r w:rsidR="00915949">
        <w:rPr>
          <w:b w:val="0"/>
        </w:rPr>
        <w:t>2021</w:t>
      </w:r>
      <w:r>
        <w:rPr>
          <w:b w:val="0"/>
        </w:rPr>
        <w:t xml:space="preserve"> года </w:t>
      </w:r>
      <w:r w:rsidR="0016649D">
        <w:rPr>
          <w:b w:val="0"/>
        </w:rPr>
        <w:t xml:space="preserve">– </w:t>
      </w:r>
      <w:r w:rsidRPr="00D208B1">
        <w:rPr>
          <w:b w:val="0"/>
        </w:rPr>
        <w:t>6,5%</w:t>
      </w:r>
      <w:r w:rsidR="0016649D">
        <w:rPr>
          <w:b w:val="0"/>
        </w:rPr>
        <w:t>.</w:t>
      </w:r>
    </w:p>
    <w:p w:rsidR="00192003" w:rsidRDefault="00192003" w:rsidP="00AF0C54">
      <w:pPr>
        <w:pStyle w:val="ConsPlusNormal"/>
        <w:spacing w:line="359" w:lineRule="auto"/>
        <w:jc w:val="both"/>
        <w:rPr>
          <w:b w:val="0"/>
        </w:rPr>
      </w:pPr>
      <w:r>
        <w:rPr>
          <w:b w:val="0"/>
        </w:rPr>
        <w:tab/>
      </w:r>
      <w:r w:rsidR="00F14801">
        <w:rPr>
          <w:b w:val="0"/>
        </w:rPr>
        <w:t>1.</w:t>
      </w:r>
      <w:r>
        <w:rPr>
          <w:b w:val="0"/>
        </w:rPr>
        <w:t>2. Министерству финансов Кировской области внести в сводную бюджетную роспись областного бюджета</w:t>
      </w:r>
      <w:r w:rsidR="00694D50" w:rsidRPr="00694D50">
        <w:rPr>
          <w:b w:val="0"/>
        </w:rPr>
        <w:t xml:space="preserve"> </w:t>
      </w:r>
      <w:r w:rsidR="00694D50">
        <w:rPr>
          <w:b w:val="0"/>
        </w:rPr>
        <w:t>изменения</w:t>
      </w:r>
      <w:r w:rsidR="00F14801">
        <w:rPr>
          <w:b w:val="0"/>
        </w:rPr>
        <w:t xml:space="preserve">, предусматривающие увеличение бюджетных ассигнований </w:t>
      </w:r>
      <w:r w:rsidR="00F14801" w:rsidRPr="00D208B1">
        <w:rPr>
          <w:b w:val="0"/>
        </w:rPr>
        <w:t>на оплату труда работников областных государственных у</w:t>
      </w:r>
      <w:r w:rsidR="00915949">
        <w:rPr>
          <w:b w:val="0"/>
        </w:rPr>
        <w:t>чреждений и начисления на нее в объемах</w:t>
      </w:r>
      <w:r w:rsidR="00F14801" w:rsidRPr="00D208B1">
        <w:rPr>
          <w:b w:val="0"/>
        </w:rPr>
        <w:t xml:space="preserve"> согласно приложению</w:t>
      </w:r>
      <w:r>
        <w:rPr>
          <w:b w:val="0"/>
        </w:rPr>
        <w:t>.</w:t>
      </w:r>
    </w:p>
    <w:p w:rsidR="00F14801" w:rsidRDefault="00F14801" w:rsidP="00AF0C54">
      <w:pPr>
        <w:pStyle w:val="ConsPlusNormal"/>
        <w:spacing w:line="359" w:lineRule="auto"/>
        <w:jc w:val="both"/>
        <w:rPr>
          <w:b w:val="0"/>
        </w:rPr>
      </w:pPr>
      <w:r w:rsidRPr="00D208B1">
        <w:rPr>
          <w:b w:val="0"/>
        </w:rPr>
        <w:tab/>
      </w:r>
      <w:r>
        <w:rPr>
          <w:b w:val="0"/>
        </w:rPr>
        <w:t>1.</w:t>
      </w:r>
      <w:r w:rsidR="00DD32CB">
        <w:rPr>
          <w:b w:val="0"/>
        </w:rPr>
        <w:t>3</w:t>
      </w:r>
      <w:r w:rsidRPr="00D208B1">
        <w:rPr>
          <w:b w:val="0"/>
        </w:rPr>
        <w:t xml:space="preserve">. Органам исполнительной власти </w:t>
      </w:r>
      <w:r w:rsidR="004D721F">
        <w:rPr>
          <w:b w:val="0"/>
        </w:rPr>
        <w:t xml:space="preserve">Кировской </w:t>
      </w:r>
      <w:r w:rsidRPr="00D208B1">
        <w:rPr>
          <w:b w:val="0"/>
        </w:rPr>
        <w:t>области, осуществляющим функции и полномочия учредителей областных государственных учреждений</w:t>
      </w:r>
      <w:r>
        <w:rPr>
          <w:b w:val="0"/>
        </w:rPr>
        <w:t>:</w:t>
      </w:r>
      <w:r w:rsidRPr="00D208B1">
        <w:rPr>
          <w:b w:val="0"/>
        </w:rPr>
        <w:t xml:space="preserve"> </w:t>
      </w:r>
    </w:p>
    <w:p w:rsidR="00F14801" w:rsidRPr="00D208B1" w:rsidRDefault="00F14801" w:rsidP="00AF0C54">
      <w:pPr>
        <w:pStyle w:val="ConsPlusNormal"/>
        <w:spacing w:line="359" w:lineRule="auto"/>
        <w:jc w:val="both"/>
        <w:rPr>
          <w:b w:val="0"/>
        </w:rPr>
      </w:pPr>
      <w:r>
        <w:rPr>
          <w:b w:val="0"/>
        </w:rPr>
        <w:tab/>
        <w:t>1.</w:t>
      </w:r>
      <w:r w:rsidR="00DD32CB">
        <w:rPr>
          <w:b w:val="0"/>
        </w:rPr>
        <w:t>3</w:t>
      </w:r>
      <w:r>
        <w:rPr>
          <w:b w:val="0"/>
        </w:rPr>
        <w:t>.1. В</w:t>
      </w:r>
      <w:r w:rsidRPr="00D208B1">
        <w:rPr>
          <w:b w:val="0"/>
        </w:rPr>
        <w:t>нести соответствующие изменения в примерные положения об оплате труда работников подведомственных областных государственных учреждений, в бюджетные росписи главных распорядителей средств областного бюджета и лимиты бюджетных обязательств.</w:t>
      </w:r>
    </w:p>
    <w:p w:rsidR="00EB5C13" w:rsidRPr="00915949" w:rsidRDefault="00F14801" w:rsidP="00AF0C54">
      <w:pPr>
        <w:pStyle w:val="ConsPlusNormal"/>
        <w:spacing w:line="360" w:lineRule="auto"/>
        <w:jc w:val="both"/>
        <w:rPr>
          <w:b w:val="0"/>
        </w:rPr>
      </w:pPr>
      <w:r w:rsidRPr="00915949">
        <w:rPr>
          <w:b w:val="0"/>
        </w:rPr>
        <w:tab/>
        <w:t>1.</w:t>
      </w:r>
      <w:r w:rsidR="00DD32CB" w:rsidRPr="00915949">
        <w:rPr>
          <w:b w:val="0"/>
        </w:rPr>
        <w:t>3</w:t>
      </w:r>
      <w:r w:rsidRPr="00915949">
        <w:rPr>
          <w:b w:val="0"/>
        </w:rPr>
        <w:t xml:space="preserve">.2. </w:t>
      </w:r>
      <w:r w:rsidR="00F7285D" w:rsidRPr="00915949">
        <w:rPr>
          <w:b w:val="0"/>
        </w:rPr>
        <w:t>Заключить с подведомственными областными государственными учреждениями соглашения по обеспечению в 2021 году уровня средней заработной</w:t>
      </w:r>
      <w:r w:rsidR="00694D50">
        <w:rPr>
          <w:b w:val="0"/>
        </w:rPr>
        <w:t xml:space="preserve"> платы</w:t>
      </w:r>
      <w:r w:rsidR="00F7285D" w:rsidRPr="00915949">
        <w:rPr>
          <w:b w:val="0"/>
        </w:rPr>
        <w:t xml:space="preserve"> </w:t>
      </w:r>
      <w:r w:rsidR="00116246" w:rsidRPr="00915949">
        <w:rPr>
          <w:b w:val="0"/>
        </w:rPr>
        <w:t xml:space="preserve">педагогических работников </w:t>
      </w:r>
      <w:r w:rsidR="005846F7">
        <w:rPr>
          <w:b w:val="0"/>
        </w:rPr>
        <w:t xml:space="preserve">дошкольных групп </w:t>
      </w:r>
      <w:r w:rsidR="00116246" w:rsidRPr="00915949">
        <w:rPr>
          <w:b w:val="0"/>
        </w:rPr>
        <w:t xml:space="preserve">областных государственных </w:t>
      </w:r>
      <w:r w:rsidR="009B4AEC">
        <w:rPr>
          <w:b w:val="0"/>
        </w:rPr>
        <w:t xml:space="preserve">общеобразовательных организаций, </w:t>
      </w:r>
      <w:r w:rsidR="00EB5C13" w:rsidRPr="00915949">
        <w:rPr>
          <w:b w:val="0"/>
        </w:rPr>
        <w:t>педагогических работников областных государственных организаций дополнительного образования детей</w:t>
      </w:r>
      <w:r w:rsidR="00694D50">
        <w:rPr>
          <w:b w:val="0"/>
        </w:rPr>
        <w:t>,</w:t>
      </w:r>
      <w:r w:rsidR="00EB5C13" w:rsidRPr="00915949">
        <w:rPr>
          <w:b w:val="0"/>
        </w:rPr>
        <w:t xml:space="preserve"> педагогических работников областных государственных организаций, оказывающих социальные услуги детям-сиротам и детям, </w:t>
      </w:r>
      <w:r w:rsidR="00EB5C13" w:rsidRPr="00871FED">
        <w:rPr>
          <w:b w:val="0"/>
          <w:spacing w:val="-2"/>
        </w:rPr>
        <w:t>оставшимся без попечения родителей</w:t>
      </w:r>
      <w:r w:rsidR="00694D50" w:rsidRPr="00871FED">
        <w:rPr>
          <w:b w:val="0"/>
          <w:spacing w:val="-2"/>
        </w:rPr>
        <w:t>,</w:t>
      </w:r>
      <w:r w:rsidR="00EB5C13" w:rsidRPr="00871FED">
        <w:rPr>
          <w:b w:val="0"/>
          <w:spacing w:val="-2"/>
        </w:rPr>
        <w:t xml:space="preserve"> работник</w:t>
      </w:r>
      <w:r w:rsidR="00BA382D" w:rsidRPr="00871FED">
        <w:rPr>
          <w:b w:val="0"/>
          <w:spacing w:val="-2"/>
        </w:rPr>
        <w:t>ов</w:t>
      </w:r>
      <w:r w:rsidR="00EB5C13" w:rsidRPr="00871FED">
        <w:rPr>
          <w:b w:val="0"/>
          <w:spacing w:val="-2"/>
        </w:rPr>
        <w:t xml:space="preserve"> областных государственных</w:t>
      </w:r>
      <w:r w:rsidR="00EB5C13" w:rsidRPr="00915949">
        <w:rPr>
          <w:b w:val="0"/>
        </w:rPr>
        <w:t xml:space="preserve"> учреждений культуры, архивных учреждений</w:t>
      </w:r>
      <w:r w:rsidR="00694D50">
        <w:rPr>
          <w:b w:val="0"/>
        </w:rPr>
        <w:t>,</w:t>
      </w:r>
      <w:r w:rsidR="00EB5C13" w:rsidRPr="00915949">
        <w:rPr>
          <w:b w:val="0"/>
        </w:rPr>
        <w:t xml:space="preserve"> врачей и младшего </w:t>
      </w:r>
      <w:r w:rsidR="00EB5C13" w:rsidRPr="00871FED">
        <w:rPr>
          <w:b w:val="0"/>
          <w:spacing w:val="-2"/>
        </w:rPr>
        <w:t>медицинск</w:t>
      </w:r>
      <w:r w:rsidR="004D721F" w:rsidRPr="00871FED">
        <w:rPr>
          <w:b w:val="0"/>
          <w:spacing w:val="-2"/>
        </w:rPr>
        <w:t>ого</w:t>
      </w:r>
      <w:r w:rsidR="00EB5C13" w:rsidRPr="00871FED">
        <w:rPr>
          <w:b w:val="0"/>
          <w:spacing w:val="-2"/>
        </w:rPr>
        <w:t xml:space="preserve"> персонал</w:t>
      </w:r>
      <w:r w:rsidR="004D721F" w:rsidRPr="00871FED">
        <w:rPr>
          <w:b w:val="0"/>
          <w:spacing w:val="-2"/>
        </w:rPr>
        <w:t>а</w:t>
      </w:r>
      <w:r w:rsidR="00EB5C13" w:rsidRPr="00871FED">
        <w:rPr>
          <w:b w:val="0"/>
          <w:spacing w:val="-2"/>
        </w:rPr>
        <w:t xml:space="preserve"> областных государственных учреждений социального</w:t>
      </w:r>
      <w:r w:rsidR="00EB5C13" w:rsidRPr="00915949">
        <w:rPr>
          <w:b w:val="0"/>
        </w:rPr>
        <w:t xml:space="preserve"> обслуживания населения и областных государственных учреждений здравоохранения</w:t>
      </w:r>
      <w:r w:rsidR="00694D50">
        <w:rPr>
          <w:b w:val="0"/>
        </w:rPr>
        <w:t>,</w:t>
      </w:r>
      <w:r w:rsidR="00EB5C13" w:rsidRPr="00915949">
        <w:rPr>
          <w:b w:val="0"/>
        </w:rPr>
        <w:t xml:space="preserve"> социальных работников областных государственных учреждений социального обслуживания населения</w:t>
      </w:r>
      <w:r w:rsidR="004D721F">
        <w:rPr>
          <w:b w:val="0"/>
        </w:rPr>
        <w:t xml:space="preserve"> </w:t>
      </w:r>
      <w:r w:rsidR="00694D50">
        <w:rPr>
          <w:b w:val="0"/>
        </w:rPr>
        <w:t xml:space="preserve">и </w:t>
      </w:r>
      <w:r w:rsidR="004D721F">
        <w:rPr>
          <w:b w:val="0"/>
        </w:rPr>
        <w:t>(</w:t>
      </w:r>
      <w:r w:rsidR="00694D50">
        <w:rPr>
          <w:b w:val="0"/>
        </w:rPr>
        <w:t xml:space="preserve">или) </w:t>
      </w:r>
      <w:r w:rsidR="004D721F">
        <w:rPr>
          <w:b w:val="0"/>
        </w:rPr>
        <w:t>внести изменения в указанные соглашения</w:t>
      </w:r>
      <w:r w:rsidR="00EB5C13" w:rsidRPr="00915949">
        <w:rPr>
          <w:b w:val="0"/>
        </w:rPr>
        <w:t xml:space="preserve">. </w:t>
      </w:r>
    </w:p>
    <w:p w:rsidR="00DD32CB" w:rsidRDefault="00D208B1" w:rsidP="00D208B1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lastRenderedPageBreak/>
        <w:tab/>
      </w:r>
      <w:r w:rsidR="00DD32CB">
        <w:rPr>
          <w:b w:val="0"/>
        </w:rPr>
        <w:t>1.4.</w:t>
      </w:r>
      <w:r w:rsidRPr="00D208B1">
        <w:rPr>
          <w:b w:val="0"/>
        </w:rPr>
        <w:t xml:space="preserve"> Рекомендовать руководителям областных государственных учреждений</w:t>
      </w:r>
      <w:r w:rsidR="00DD32CB">
        <w:rPr>
          <w:b w:val="0"/>
        </w:rPr>
        <w:t>:</w:t>
      </w:r>
      <w:r w:rsidRPr="00D208B1">
        <w:rPr>
          <w:b w:val="0"/>
        </w:rPr>
        <w:t xml:space="preserve"> </w:t>
      </w:r>
    </w:p>
    <w:p w:rsidR="00E648C9" w:rsidRDefault="00DD32CB" w:rsidP="00D208B1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1.4.1. В</w:t>
      </w:r>
      <w:r w:rsidR="00D208B1" w:rsidRPr="00D208B1">
        <w:rPr>
          <w:b w:val="0"/>
        </w:rPr>
        <w:t xml:space="preserve">нести </w:t>
      </w:r>
      <w:r>
        <w:rPr>
          <w:b w:val="0"/>
        </w:rPr>
        <w:t xml:space="preserve">соответствующие </w:t>
      </w:r>
      <w:r w:rsidR="00D208B1" w:rsidRPr="00D208B1">
        <w:rPr>
          <w:b w:val="0"/>
        </w:rPr>
        <w:t>изменения</w:t>
      </w:r>
      <w:r w:rsidR="00E648C9">
        <w:rPr>
          <w:b w:val="0"/>
        </w:rPr>
        <w:t>:</w:t>
      </w:r>
    </w:p>
    <w:p w:rsidR="00E648C9" w:rsidRDefault="00E648C9" w:rsidP="00D208B1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D208B1" w:rsidRPr="00D208B1">
        <w:rPr>
          <w:b w:val="0"/>
        </w:rPr>
        <w:t>в положения об оплате труда</w:t>
      </w:r>
      <w:r>
        <w:rPr>
          <w:b w:val="0"/>
        </w:rPr>
        <w:t xml:space="preserve"> </w:t>
      </w:r>
      <w:r w:rsidR="00C5647C">
        <w:rPr>
          <w:b w:val="0"/>
        </w:rPr>
        <w:t xml:space="preserve">работников </w:t>
      </w:r>
      <w:r w:rsidR="00C5647C" w:rsidRPr="00D208B1">
        <w:rPr>
          <w:b w:val="0"/>
        </w:rPr>
        <w:t xml:space="preserve">областных государственных учреждений </w:t>
      </w:r>
      <w:r w:rsidRPr="00D208B1">
        <w:rPr>
          <w:b w:val="0"/>
        </w:rPr>
        <w:t>на основании примерных положений об оплате труда работников подведомственных областных государственных учреждений, утвержденных органами исполнительной власти Кировской области, осуществляющими функции и полномочия учредителей областных государственных учреждений</w:t>
      </w:r>
      <w:r>
        <w:rPr>
          <w:b w:val="0"/>
        </w:rPr>
        <w:t>;</w:t>
      </w:r>
    </w:p>
    <w:p w:rsidR="00D208B1" w:rsidRDefault="00E648C9" w:rsidP="00D208B1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в </w:t>
      </w:r>
      <w:r w:rsidR="00D208B1" w:rsidRPr="00D208B1">
        <w:rPr>
          <w:b w:val="0"/>
        </w:rPr>
        <w:t>бюджетные сметы областных государственных казенных учреждений (планы финансово-хозяйственной деятельности областных государственных бюджетных (автономных) учреждений).</w:t>
      </w:r>
    </w:p>
    <w:p w:rsidR="00DD32CB" w:rsidRPr="00F7285D" w:rsidRDefault="00DD32CB" w:rsidP="00DD32C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1.4.2. Обеспечить </w:t>
      </w:r>
      <w:r w:rsidRPr="00D208B1">
        <w:rPr>
          <w:b w:val="0"/>
        </w:rPr>
        <w:t>достижени</w:t>
      </w:r>
      <w:r>
        <w:rPr>
          <w:b w:val="0"/>
        </w:rPr>
        <w:t>е</w:t>
      </w:r>
      <w:r w:rsidRPr="00D208B1">
        <w:rPr>
          <w:b w:val="0"/>
        </w:rPr>
        <w:t xml:space="preserve"> показателей уровня </w:t>
      </w:r>
      <w:r w:rsidR="00C5647C">
        <w:rPr>
          <w:b w:val="0"/>
        </w:rPr>
        <w:t xml:space="preserve">средней </w:t>
      </w:r>
      <w:r w:rsidRPr="00D208B1">
        <w:rPr>
          <w:b w:val="0"/>
        </w:rPr>
        <w:t xml:space="preserve">заработной платы </w:t>
      </w:r>
      <w:r w:rsidRPr="00F7285D">
        <w:rPr>
          <w:b w:val="0"/>
        </w:rPr>
        <w:t xml:space="preserve">отдельных категорий работников, установленных </w:t>
      </w:r>
      <w:r w:rsidR="00F7285D" w:rsidRPr="00F7285D">
        <w:rPr>
          <w:b w:val="0"/>
        </w:rPr>
        <w:t>соглашениями</w:t>
      </w:r>
      <w:r w:rsidR="005D6B67">
        <w:rPr>
          <w:b w:val="0"/>
        </w:rPr>
        <w:t>, указанными в подпункте 1.3.2 настоящего постановления</w:t>
      </w:r>
      <w:r w:rsidRPr="00F7285D">
        <w:rPr>
          <w:b w:val="0"/>
        </w:rPr>
        <w:t xml:space="preserve">. </w:t>
      </w:r>
    </w:p>
    <w:p w:rsidR="00DD32CB" w:rsidRDefault="00DD32CB" w:rsidP="00DD32CB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tab/>
        <w:t>1.</w:t>
      </w:r>
      <w:r>
        <w:rPr>
          <w:b w:val="0"/>
        </w:rPr>
        <w:t>4.</w:t>
      </w:r>
      <w:r w:rsidRPr="00D208B1">
        <w:rPr>
          <w:b w:val="0"/>
        </w:rPr>
        <w:t xml:space="preserve">3. </w:t>
      </w:r>
      <w:r>
        <w:rPr>
          <w:b w:val="0"/>
        </w:rPr>
        <w:t>Осуществить и</w:t>
      </w:r>
      <w:r w:rsidRPr="00D208B1">
        <w:rPr>
          <w:b w:val="0"/>
        </w:rPr>
        <w:t>ндексаци</w:t>
      </w:r>
      <w:r>
        <w:rPr>
          <w:b w:val="0"/>
        </w:rPr>
        <w:t>ю</w:t>
      </w:r>
      <w:r w:rsidRPr="00D208B1">
        <w:rPr>
          <w:b w:val="0"/>
        </w:rPr>
        <w:t xml:space="preserve"> окладов (должностных окладов), ставок заработной платы, выплат компенсационного характера, выплат стимулирующего характера</w:t>
      </w:r>
      <w:r w:rsidR="00E648C9">
        <w:rPr>
          <w:b w:val="0"/>
        </w:rPr>
        <w:t xml:space="preserve"> работникам</w:t>
      </w:r>
      <w:r w:rsidR="00F20BC8">
        <w:rPr>
          <w:b w:val="0"/>
        </w:rPr>
        <w:t xml:space="preserve"> областных государственных учреждений</w:t>
      </w:r>
      <w:r w:rsidRPr="00D208B1">
        <w:rPr>
          <w:b w:val="0"/>
        </w:rPr>
        <w:t>.</w:t>
      </w:r>
    </w:p>
    <w:p w:rsidR="000B60EB" w:rsidRDefault="000B60EB" w:rsidP="000B60E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C5647C">
        <w:rPr>
          <w:b w:val="0"/>
        </w:rPr>
        <w:t>2</w:t>
      </w:r>
      <w:r w:rsidRPr="000B60EB">
        <w:rPr>
          <w:b w:val="0"/>
        </w:rPr>
        <w:t xml:space="preserve">. Министерству культуры Кировской области </w:t>
      </w:r>
      <w:r>
        <w:rPr>
          <w:b w:val="0"/>
        </w:rPr>
        <w:t>внести соответствующие изменения в</w:t>
      </w:r>
      <w:r w:rsidRPr="000B60EB">
        <w:rPr>
          <w:b w:val="0"/>
        </w:rPr>
        <w:t xml:space="preserve"> соглашения</w:t>
      </w:r>
      <w:r>
        <w:rPr>
          <w:b w:val="0"/>
        </w:rPr>
        <w:t xml:space="preserve"> </w:t>
      </w:r>
      <w:r w:rsidRPr="000B60EB">
        <w:rPr>
          <w:b w:val="0"/>
        </w:rPr>
        <w:t>по обеспечению в 2021 году уровня средней заработной платы работников муниципальных учреждений культуры</w:t>
      </w:r>
      <w:r w:rsidR="005D6B67">
        <w:rPr>
          <w:b w:val="0"/>
        </w:rPr>
        <w:t>, заключенные</w:t>
      </w:r>
      <w:r w:rsidR="005D6B67" w:rsidRPr="000B60EB">
        <w:rPr>
          <w:b w:val="0"/>
        </w:rPr>
        <w:t xml:space="preserve"> с администрациями муниципальных районов (муниципальных округов, городских округов) Кировской области</w:t>
      </w:r>
      <w:r w:rsidRPr="000B60EB">
        <w:rPr>
          <w:b w:val="0"/>
        </w:rPr>
        <w:t>.</w:t>
      </w:r>
    </w:p>
    <w:p w:rsidR="000B60EB" w:rsidRPr="000B60EB" w:rsidRDefault="000B60EB" w:rsidP="000B60E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C5647C">
        <w:rPr>
          <w:b w:val="0"/>
        </w:rPr>
        <w:t>3</w:t>
      </w:r>
      <w:r w:rsidRPr="000B60EB">
        <w:rPr>
          <w:b w:val="0"/>
        </w:rPr>
        <w:t xml:space="preserve">. Министерству образования Кировской области </w:t>
      </w:r>
      <w:r>
        <w:rPr>
          <w:b w:val="0"/>
        </w:rPr>
        <w:t xml:space="preserve">внести </w:t>
      </w:r>
      <w:r w:rsidRPr="00871FED">
        <w:rPr>
          <w:b w:val="0"/>
          <w:spacing w:val="-2"/>
        </w:rPr>
        <w:t>соответствующие изменения в соглашения по обеспечению в 2021 году уровня</w:t>
      </w:r>
      <w:r w:rsidRPr="000B60EB">
        <w:rPr>
          <w:b w:val="0"/>
        </w:rPr>
        <w:t xml:space="preserve"> средней заработной платы педагогических работников муниципальных образовательных организаций общего образования, педагогических работников муниципальных образовательных организаций дошкольного образования, педагогических работников муниципальных образовательных организаций дополнительного образования</w:t>
      </w:r>
      <w:r w:rsidR="005D6B67">
        <w:rPr>
          <w:b w:val="0"/>
        </w:rPr>
        <w:t>, заключенные</w:t>
      </w:r>
      <w:r w:rsidR="005D6B67" w:rsidRPr="000B60EB">
        <w:rPr>
          <w:b w:val="0"/>
        </w:rPr>
        <w:t xml:space="preserve"> с администрациями </w:t>
      </w:r>
      <w:r w:rsidR="005D6B67" w:rsidRPr="000B60EB">
        <w:rPr>
          <w:b w:val="0"/>
        </w:rPr>
        <w:lastRenderedPageBreak/>
        <w:t>муниципальных районов (муниципальных округов, городских округов) Кировской области</w:t>
      </w:r>
      <w:r>
        <w:rPr>
          <w:b w:val="0"/>
        </w:rPr>
        <w:t>.</w:t>
      </w:r>
    </w:p>
    <w:p w:rsidR="00D208B1" w:rsidRPr="00D208B1" w:rsidRDefault="00D208B1" w:rsidP="00D208B1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tab/>
      </w:r>
      <w:r w:rsidR="00C5647C">
        <w:rPr>
          <w:b w:val="0"/>
        </w:rPr>
        <w:t>4</w:t>
      </w:r>
      <w:r w:rsidRPr="00D208B1">
        <w:rPr>
          <w:b w:val="0"/>
        </w:rPr>
        <w:t xml:space="preserve">. Рекомендовать органам местного самоуправления муниципальных </w:t>
      </w:r>
      <w:r w:rsidRPr="00871FED">
        <w:rPr>
          <w:b w:val="0"/>
          <w:spacing w:val="-2"/>
        </w:rPr>
        <w:t>образований Кировской области проиндексировать с 01.09.2021 фонды оплаты</w:t>
      </w:r>
      <w:r w:rsidRPr="00D208B1">
        <w:rPr>
          <w:b w:val="0"/>
        </w:rPr>
        <w:t xml:space="preserve"> труда работников муниципальных учреждений, обеспечив: </w:t>
      </w:r>
    </w:p>
    <w:p w:rsidR="00D208B1" w:rsidRPr="00D208B1" w:rsidRDefault="00D208B1" w:rsidP="00D208B1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tab/>
      </w:r>
      <w:r w:rsidR="00C5647C">
        <w:rPr>
          <w:b w:val="0"/>
        </w:rPr>
        <w:t>4</w:t>
      </w:r>
      <w:r w:rsidRPr="00D208B1">
        <w:rPr>
          <w:b w:val="0"/>
        </w:rPr>
        <w:t xml:space="preserve">.1. Достижение показателей уровня средней заработной платы отдельных категорий работников, установленных соглашениями, </w:t>
      </w:r>
      <w:r w:rsidR="005D6B67">
        <w:rPr>
          <w:b w:val="0"/>
        </w:rPr>
        <w:t xml:space="preserve">указанными в пунктах </w:t>
      </w:r>
      <w:r w:rsidR="002B564F">
        <w:rPr>
          <w:b w:val="0"/>
        </w:rPr>
        <w:t>2</w:t>
      </w:r>
      <w:r w:rsidR="005D6B67">
        <w:rPr>
          <w:b w:val="0"/>
        </w:rPr>
        <w:t xml:space="preserve"> и </w:t>
      </w:r>
      <w:r w:rsidR="002B564F">
        <w:rPr>
          <w:b w:val="0"/>
        </w:rPr>
        <w:t>3</w:t>
      </w:r>
      <w:r w:rsidR="005D6B67">
        <w:rPr>
          <w:b w:val="0"/>
        </w:rPr>
        <w:t xml:space="preserve"> настоящего постановления</w:t>
      </w:r>
      <w:r w:rsidRPr="00D208B1">
        <w:rPr>
          <w:b w:val="0"/>
        </w:rPr>
        <w:t xml:space="preserve">. </w:t>
      </w:r>
    </w:p>
    <w:p w:rsidR="00944CEF" w:rsidRDefault="00D208B1" w:rsidP="0018307F">
      <w:pPr>
        <w:pStyle w:val="ConsPlusNormal"/>
        <w:spacing w:line="360" w:lineRule="auto"/>
        <w:jc w:val="both"/>
        <w:rPr>
          <w:b w:val="0"/>
        </w:rPr>
      </w:pPr>
      <w:r w:rsidRPr="0018307F">
        <w:rPr>
          <w:b w:val="0"/>
        </w:rPr>
        <w:tab/>
      </w:r>
      <w:r w:rsidR="00C5647C">
        <w:rPr>
          <w:b w:val="0"/>
        </w:rPr>
        <w:t>4</w:t>
      </w:r>
      <w:r w:rsidRPr="0018307F">
        <w:rPr>
          <w:b w:val="0"/>
        </w:rPr>
        <w:t xml:space="preserve">.2. Увеличение фондов оплаты труда работников муниципальных учреждений (за исключением фондов оплаты труда работников, указанных в подпункте </w:t>
      </w:r>
      <w:r w:rsidR="00C5647C">
        <w:rPr>
          <w:b w:val="0"/>
        </w:rPr>
        <w:t>4</w:t>
      </w:r>
      <w:r w:rsidRPr="0018307F">
        <w:rPr>
          <w:b w:val="0"/>
        </w:rPr>
        <w:t xml:space="preserve">.1 настоящего </w:t>
      </w:r>
      <w:r w:rsidR="005D6B67">
        <w:rPr>
          <w:b w:val="0"/>
        </w:rPr>
        <w:t>постановления</w:t>
      </w:r>
      <w:r w:rsidRPr="0018307F">
        <w:rPr>
          <w:b w:val="0"/>
        </w:rPr>
        <w:t xml:space="preserve">) </w:t>
      </w:r>
      <w:r w:rsidR="00E37CE1">
        <w:rPr>
          <w:b w:val="0"/>
        </w:rPr>
        <w:t xml:space="preserve">за сентябрь – декабрь </w:t>
      </w:r>
      <w:r w:rsidR="00915949">
        <w:rPr>
          <w:b w:val="0"/>
        </w:rPr>
        <w:t xml:space="preserve">2021 </w:t>
      </w:r>
      <w:r w:rsidR="00E37CE1">
        <w:rPr>
          <w:b w:val="0"/>
        </w:rPr>
        <w:t>года</w:t>
      </w:r>
      <w:r w:rsidR="00E37CE1" w:rsidRPr="0018307F">
        <w:rPr>
          <w:b w:val="0"/>
        </w:rPr>
        <w:t xml:space="preserve"> </w:t>
      </w:r>
      <w:r w:rsidRPr="0018307F">
        <w:rPr>
          <w:b w:val="0"/>
        </w:rPr>
        <w:t>на 6,5%.</w:t>
      </w:r>
    </w:p>
    <w:p w:rsidR="00F456C6" w:rsidRPr="000B60EB" w:rsidRDefault="000B60EB" w:rsidP="000B60EB">
      <w:pPr>
        <w:pStyle w:val="ConsPlusNormal"/>
        <w:spacing w:line="360" w:lineRule="auto"/>
        <w:jc w:val="both"/>
        <w:rPr>
          <w:rFonts w:eastAsiaTheme="minorHAnsi"/>
          <w:b w:val="0"/>
        </w:rPr>
      </w:pPr>
      <w:r w:rsidRPr="000B60EB">
        <w:rPr>
          <w:b w:val="0"/>
        </w:rPr>
        <w:tab/>
      </w:r>
      <w:r w:rsidR="00C5647C">
        <w:rPr>
          <w:b w:val="0"/>
        </w:rPr>
        <w:t>5</w:t>
      </w:r>
      <w:r w:rsidR="00403361" w:rsidRPr="000B60EB">
        <w:rPr>
          <w:b w:val="0"/>
        </w:rPr>
        <w:t xml:space="preserve">. </w:t>
      </w:r>
      <w:r w:rsidR="008F1BEE" w:rsidRPr="000B60EB">
        <w:rPr>
          <w:b w:val="0"/>
        </w:rPr>
        <w:t xml:space="preserve">Настоящее постановление вступает в силу после </w:t>
      </w:r>
      <w:r w:rsidR="00F456C6" w:rsidRPr="000B60EB">
        <w:rPr>
          <w:b w:val="0"/>
        </w:rPr>
        <w:t>его официального опубликования</w:t>
      </w:r>
      <w:r w:rsidR="00080F2F">
        <w:rPr>
          <w:b w:val="0"/>
        </w:rPr>
        <w:t xml:space="preserve"> и распространяется на правоотношения, возникшие с 01.09.2021</w:t>
      </w:r>
      <w:r w:rsidR="008A5EBE" w:rsidRPr="000B60EB">
        <w:rPr>
          <w:b w:val="0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575E5" w:rsidRPr="00871FED" w:rsidRDefault="00C04359" w:rsidP="00871FED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575E5" w:rsidRPr="00871FED" w:rsidSect="00F46020">
      <w:headerReference w:type="default" r:id="rId15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DB" w:rsidRDefault="00FB69DB" w:rsidP="00386EDA">
      <w:pPr>
        <w:spacing w:after="0" w:line="240" w:lineRule="auto"/>
      </w:pPr>
      <w:r>
        <w:separator/>
      </w:r>
    </w:p>
  </w:endnote>
  <w:endnote w:type="continuationSeparator" w:id="0">
    <w:p w:rsidR="00FB69DB" w:rsidRDefault="00FB69DB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DB" w:rsidRDefault="00FB69DB" w:rsidP="00386EDA">
      <w:pPr>
        <w:spacing w:after="0" w:line="240" w:lineRule="auto"/>
      </w:pPr>
      <w:r>
        <w:separator/>
      </w:r>
    </w:p>
  </w:footnote>
  <w:footnote w:type="continuationSeparator" w:id="0">
    <w:p w:rsidR="00FB69DB" w:rsidRDefault="00FB69DB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871FED">
          <w:rPr>
            <w:rFonts w:ascii="Times New Roman" w:hAnsi="Times New Roman"/>
            <w:noProof/>
          </w:rPr>
          <w:t>4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0F2F"/>
    <w:rsid w:val="00081F94"/>
    <w:rsid w:val="00083027"/>
    <w:rsid w:val="00085F2A"/>
    <w:rsid w:val="00087377"/>
    <w:rsid w:val="00087F98"/>
    <w:rsid w:val="00093B2B"/>
    <w:rsid w:val="00095573"/>
    <w:rsid w:val="000976C4"/>
    <w:rsid w:val="000A3F6B"/>
    <w:rsid w:val="000B127F"/>
    <w:rsid w:val="000B60EB"/>
    <w:rsid w:val="000C5604"/>
    <w:rsid w:val="000D0AB5"/>
    <w:rsid w:val="000D3385"/>
    <w:rsid w:val="000D4F39"/>
    <w:rsid w:val="000F5571"/>
    <w:rsid w:val="00100E3E"/>
    <w:rsid w:val="00106E8E"/>
    <w:rsid w:val="00116246"/>
    <w:rsid w:val="001173CF"/>
    <w:rsid w:val="00131750"/>
    <w:rsid w:val="00141590"/>
    <w:rsid w:val="00144931"/>
    <w:rsid w:val="0015074B"/>
    <w:rsid w:val="001511D0"/>
    <w:rsid w:val="001535E0"/>
    <w:rsid w:val="001642F6"/>
    <w:rsid w:val="0016578C"/>
    <w:rsid w:val="0016649D"/>
    <w:rsid w:val="00171A03"/>
    <w:rsid w:val="001725FB"/>
    <w:rsid w:val="00176280"/>
    <w:rsid w:val="0018307F"/>
    <w:rsid w:val="00192003"/>
    <w:rsid w:val="00194F3E"/>
    <w:rsid w:val="001A6B21"/>
    <w:rsid w:val="001B3A03"/>
    <w:rsid w:val="001B4A2C"/>
    <w:rsid w:val="001C3614"/>
    <w:rsid w:val="001C58C5"/>
    <w:rsid w:val="001C6F1C"/>
    <w:rsid w:val="001D114E"/>
    <w:rsid w:val="001D2C2C"/>
    <w:rsid w:val="001E4059"/>
    <w:rsid w:val="001E6C49"/>
    <w:rsid w:val="00204A76"/>
    <w:rsid w:val="00215254"/>
    <w:rsid w:val="00224BC3"/>
    <w:rsid w:val="00230480"/>
    <w:rsid w:val="002370F2"/>
    <w:rsid w:val="002411CD"/>
    <w:rsid w:val="0024554E"/>
    <w:rsid w:val="00256DDE"/>
    <w:rsid w:val="0026370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070C"/>
    <w:rsid w:val="002B19FE"/>
    <w:rsid w:val="002B2F67"/>
    <w:rsid w:val="002B564F"/>
    <w:rsid w:val="002C08CB"/>
    <w:rsid w:val="002E39FF"/>
    <w:rsid w:val="002E5EFD"/>
    <w:rsid w:val="002E7CEE"/>
    <w:rsid w:val="002F0102"/>
    <w:rsid w:val="002F71D0"/>
    <w:rsid w:val="00300381"/>
    <w:rsid w:val="0032209C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6EDA"/>
    <w:rsid w:val="00390444"/>
    <w:rsid w:val="003907AE"/>
    <w:rsid w:val="003923B9"/>
    <w:rsid w:val="003929B4"/>
    <w:rsid w:val="00397205"/>
    <w:rsid w:val="003A278C"/>
    <w:rsid w:val="003A5B0F"/>
    <w:rsid w:val="003A7E4A"/>
    <w:rsid w:val="003B0441"/>
    <w:rsid w:val="003C1E5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2507"/>
    <w:rsid w:val="004142E3"/>
    <w:rsid w:val="004437A3"/>
    <w:rsid w:val="00446AB2"/>
    <w:rsid w:val="004517A8"/>
    <w:rsid w:val="00460D88"/>
    <w:rsid w:val="00471AD1"/>
    <w:rsid w:val="00471BAC"/>
    <w:rsid w:val="00471FC6"/>
    <w:rsid w:val="00475C61"/>
    <w:rsid w:val="00476E1A"/>
    <w:rsid w:val="00483209"/>
    <w:rsid w:val="00490E0E"/>
    <w:rsid w:val="004A4D82"/>
    <w:rsid w:val="004A5294"/>
    <w:rsid w:val="004A6309"/>
    <w:rsid w:val="004C2A2B"/>
    <w:rsid w:val="004D3151"/>
    <w:rsid w:val="004D721F"/>
    <w:rsid w:val="004D744C"/>
    <w:rsid w:val="0050150E"/>
    <w:rsid w:val="00507C1C"/>
    <w:rsid w:val="00515711"/>
    <w:rsid w:val="00520484"/>
    <w:rsid w:val="00521ED0"/>
    <w:rsid w:val="005227BB"/>
    <w:rsid w:val="00547D2B"/>
    <w:rsid w:val="005502A3"/>
    <w:rsid w:val="0057097C"/>
    <w:rsid w:val="0057473C"/>
    <w:rsid w:val="005768F3"/>
    <w:rsid w:val="005808C9"/>
    <w:rsid w:val="00582C18"/>
    <w:rsid w:val="005846F7"/>
    <w:rsid w:val="00594C9A"/>
    <w:rsid w:val="00596FAD"/>
    <w:rsid w:val="005A123F"/>
    <w:rsid w:val="005A39BC"/>
    <w:rsid w:val="005B1519"/>
    <w:rsid w:val="005D6B67"/>
    <w:rsid w:val="005E0307"/>
    <w:rsid w:val="005E559D"/>
    <w:rsid w:val="005F0803"/>
    <w:rsid w:val="005F32D7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77AE3"/>
    <w:rsid w:val="006826A8"/>
    <w:rsid w:val="006924F8"/>
    <w:rsid w:val="00692D9E"/>
    <w:rsid w:val="00694D50"/>
    <w:rsid w:val="006B2982"/>
    <w:rsid w:val="006B3C72"/>
    <w:rsid w:val="006C03F8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70CE8"/>
    <w:rsid w:val="007775EA"/>
    <w:rsid w:val="00781197"/>
    <w:rsid w:val="0079645B"/>
    <w:rsid w:val="007B1922"/>
    <w:rsid w:val="007B3DA1"/>
    <w:rsid w:val="007B5108"/>
    <w:rsid w:val="007C1768"/>
    <w:rsid w:val="007E0570"/>
    <w:rsid w:val="007E3282"/>
    <w:rsid w:val="007E69AE"/>
    <w:rsid w:val="007F3628"/>
    <w:rsid w:val="007F63A5"/>
    <w:rsid w:val="008057AF"/>
    <w:rsid w:val="00805E67"/>
    <w:rsid w:val="00812235"/>
    <w:rsid w:val="00814B1C"/>
    <w:rsid w:val="008171E4"/>
    <w:rsid w:val="00825605"/>
    <w:rsid w:val="008256F8"/>
    <w:rsid w:val="00826C6C"/>
    <w:rsid w:val="008363DF"/>
    <w:rsid w:val="008453E5"/>
    <w:rsid w:val="00855BA2"/>
    <w:rsid w:val="00857F9A"/>
    <w:rsid w:val="00861252"/>
    <w:rsid w:val="008633E3"/>
    <w:rsid w:val="00865803"/>
    <w:rsid w:val="00867301"/>
    <w:rsid w:val="00867E8C"/>
    <w:rsid w:val="008717A7"/>
    <w:rsid w:val="00871FED"/>
    <w:rsid w:val="00872A48"/>
    <w:rsid w:val="008860C6"/>
    <w:rsid w:val="00890D54"/>
    <w:rsid w:val="00893610"/>
    <w:rsid w:val="008A347F"/>
    <w:rsid w:val="008A5EBE"/>
    <w:rsid w:val="008A7E2C"/>
    <w:rsid w:val="008B3402"/>
    <w:rsid w:val="008B6D8F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15949"/>
    <w:rsid w:val="00932229"/>
    <w:rsid w:val="00933EFD"/>
    <w:rsid w:val="00941644"/>
    <w:rsid w:val="00944CEF"/>
    <w:rsid w:val="00946C12"/>
    <w:rsid w:val="009567DF"/>
    <w:rsid w:val="00962F62"/>
    <w:rsid w:val="00970FB5"/>
    <w:rsid w:val="00976CEB"/>
    <w:rsid w:val="0098200D"/>
    <w:rsid w:val="009905B3"/>
    <w:rsid w:val="00992E61"/>
    <w:rsid w:val="009A613F"/>
    <w:rsid w:val="009B0AB5"/>
    <w:rsid w:val="009B4AEC"/>
    <w:rsid w:val="009C78D1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90642"/>
    <w:rsid w:val="00A92780"/>
    <w:rsid w:val="00AA3706"/>
    <w:rsid w:val="00AB1733"/>
    <w:rsid w:val="00AB225E"/>
    <w:rsid w:val="00AC6F61"/>
    <w:rsid w:val="00AD4466"/>
    <w:rsid w:val="00AE2F38"/>
    <w:rsid w:val="00AF0C54"/>
    <w:rsid w:val="00AF1551"/>
    <w:rsid w:val="00AF2E16"/>
    <w:rsid w:val="00AF5BD5"/>
    <w:rsid w:val="00B002A1"/>
    <w:rsid w:val="00B048B1"/>
    <w:rsid w:val="00B06D21"/>
    <w:rsid w:val="00B17EE8"/>
    <w:rsid w:val="00B25764"/>
    <w:rsid w:val="00B4181C"/>
    <w:rsid w:val="00B44672"/>
    <w:rsid w:val="00B44BA8"/>
    <w:rsid w:val="00B45E01"/>
    <w:rsid w:val="00B5061A"/>
    <w:rsid w:val="00B6424E"/>
    <w:rsid w:val="00B73E88"/>
    <w:rsid w:val="00B745E1"/>
    <w:rsid w:val="00B75337"/>
    <w:rsid w:val="00B80105"/>
    <w:rsid w:val="00B81F4B"/>
    <w:rsid w:val="00B86B01"/>
    <w:rsid w:val="00BA1E6F"/>
    <w:rsid w:val="00BA2C68"/>
    <w:rsid w:val="00BA382D"/>
    <w:rsid w:val="00BB1D84"/>
    <w:rsid w:val="00BC2546"/>
    <w:rsid w:val="00BC2554"/>
    <w:rsid w:val="00BC3FAD"/>
    <w:rsid w:val="00BD1F40"/>
    <w:rsid w:val="00BE50A7"/>
    <w:rsid w:val="00BE584D"/>
    <w:rsid w:val="00BF3527"/>
    <w:rsid w:val="00BF483A"/>
    <w:rsid w:val="00C04359"/>
    <w:rsid w:val="00C075DD"/>
    <w:rsid w:val="00C12A0F"/>
    <w:rsid w:val="00C24DD6"/>
    <w:rsid w:val="00C33F19"/>
    <w:rsid w:val="00C35146"/>
    <w:rsid w:val="00C418C7"/>
    <w:rsid w:val="00C41E5D"/>
    <w:rsid w:val="00C44945"/>
    <w:rsid w:val="00C5371F"/>
    <w:rsid w:val="00C5415D"/>
    <w:rsid w:val="00C5647C"/>
    <w:rsid w:val="00C56CEA"/>
    <w:rsid w:val="00C710E0"/>
    <w:rsid w:val="00C7150C"/>
    <w:rsid w:val="00C7544D"/>
    <w:rsid w:val="00C75F0D"/>
    <w:rsid w:val="00C84BA8"/>
    <w:rsid w:val="00C85B8C"/>
    <w:rsid w:val="00C91FD4"/>
    <w:rsid w:val="00CA7998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688"/>
    <w:rsid w:val="00D1789F"/>
    <w:rsid w:val="00D208B1"/>
    <w:rsid w:val="00D27E84"/>
    <w:rsid w:val="00D317F0"/>
    <w:rsid w:val="00D337B0"/>
    <w:rsid w:val="00D45AF2"/>
    <w:rsid w:val="00D53A2E"/>
    <w:rsid w:val="00D61057"/>
    <w:rsid w:val="00D77EC7"/>
    <w:rsid w:val="00D87F43"/>
    <w:rsid w:val="00DB077D"/>
    <w:rsid w:val="00DB3F2B"/>
    <w:rsid w:val="00DB564B"/>
    <w:rsid w:val="00DD189F"/>
    <w:rsid w:val="00DD32CB"/>
    <w:rsid w:val="00DF3BDF"/>
    <w:rsid w:val="00DF50B2"/>
    <w:rsid w:val="00E03EB6"/>
    <w:rsid w:val="00E068BD"/>
    <w:rsid w:val="00E126F8"/>
    <w:rsid w:val="00E158F8"/>
    <w:rsid w:val="00E32B80"/>
    <w:rsid w:val="00E37CE1"/>
    <w:rsid w:val="00E57597"/>
    <w:rsid w:val="00E639CB"/>
    <w:rsid w:val="00E648C9"/>
    <w:rsid w:val="00E64DCE"/>
    <w:rsid w:val="00E6572D"/>
    <w:rsid w:val="00E7070C"/>
    <w:rsid w:val="00E7709D"/>
    <w:rsid w:val="00E930BE"/>
    <w:rsid w:val="00E958EB"/>
    <w:rsid w:val="00EA213F"/>
    <w:rsid w:val="00EB05D0"/>
    <w:rsid w:val="00EB5C13"/>
    <w:rsid w:val="00EB61A0"/>
    <w:rsid w:val="00EB7C77"/>
    <w:rsid w:val="00EC1575"/>
    <w:rsid w:val="00EC4E9F"/>
    <w:rsid w:val="00ED44D6"/>
    <w:rsid w:val="00F03810"/>
    <w:rsid w:val="00F1067D"/>
    <w:rsid w:val="00F12A51"/>
    <w:rsid w:val="00F14801"/>
    <w:rsid w:val="00F20BC8"/>
    <w:rsid w:val="00F3443C"/>
    <w:rsid w:val="00F411E1"/>
    <w:rsid w:val="00F413C5"/>
    <w:rsid w:val="00F456C6"/>
    <w:rsid w:val="00F46020"/>
    <w:rsid w:val="00F56D88"/>
    <w:rsid w:val="00F62C75"/>
    <w:rsid w:val="00F7285D"/>
    <w:rsid w:val="00F73515"/>
    <w:rsid w:val="00F81B85"/>
    <w:rsid w:val="00F90CAF"/>
    <w:rsid w:val="00F910F2"/>
    <w:rsid w:val="00F91894"/>
    <w:rsid w:val="00F94CAD"/>
    <w:rsid w:val="00FA5BBA"/>
    <w:rsid w:val="00FB5677"/>
    <w:rsid w:val="00FB69DB"/>
    <w:rsid w:val="00FD00D2"/>
    <w:rsid w:val="00FD0B1D"/>
    <w:rsid w:val="00FD237F"/>
    <w:rsid w:val="00FD3B60"/>
    <w:rsid w:val="00FD53D4"/>
    <w:rsid w:val="00FD57E8"/>
    <w:rsid w:val="00FE1668"/>
    <w:rsid w:val="00FE470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AF8BA184569211D1F858A4D804E97D62A4FE5EEE624E38E5AB1B5857F24344146AEAB6758E4A9FF4A788E414W2CF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8BE84247300012768530A5220B98CDFA8AE016BAC7FD4517DDC932E02390B6A31225A25C67A15E15B1D33EEF768DB9E58610DDD36F2AE4CAFBCEAAvDQ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8BE84247300012768530A5220B98CDFA8AE016BFC6FB471AD39438E87A9CB4A41D7AB55B2EAD5F15B1D13BE02988ACF4DE1FD9CB7122F2D6F9CCvAQ9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A4F6DD065EA50BC44E1E0D2E7C65AD97CA98C7D57212483E988D5E13E164E9EE7360B2025E9DC08D034605E1CwBd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97D2-7632-4D8B-ACEC-EAE4E822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8</cp:revision>
  <cp:lastPrinted>2021-09-27T11:35:00Z</cp:lastPrinted>
  <dcterms:created xsi:type="dcterms:W3CDTF">2021-09-27T07:50:00Z</dcterms:created>
  <dcterms:modified xsi:type="dcterms:W3CDTF">2021-09-28T15:14:00Z</dcterms:modified>
</cp:coreProperties>
</file>